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B5B9C0" w14:textId="5F9E3892" w:rsidR="00C5650A" w:rsidRPr="00EC6B0F" w:rsidRDefault="00C5650A" w:rsidP="00EC6B0F">
      <w:pPr>
        <w:pStyle w:val="NormaleWeb"/>
        <w:spacing w:before="0" w:beforeAutospacing="0" w:after="0" w:afterAutospacing="0" w:line="264" w:lineRule="auto"/>
        <w:jc w:val="center"/>
        <w:rPr>
          <w:rFonts w:asciiTheme="minorHAnsi" w:hAnsiTheme="minorHAnsi" w:cstheme="minorHAnsi"/>
          <w:b/>
          <w:bCs/>
          <w:sz w:val="22"/>
          <w:szCs w:val="22"/>
          <w:lang w:val="en-US"/>
        </w:rPr>
      </w:pPr>
      <w:r w:rsidRPr="00EC6B0F">
        <w:rPr>
          <w:rFonts w:asciiTheme="minorHAnsi" w:hAnsiTheme="minorHAnsi" w:cstheme="minorHAnsi"/>
          <w:b/>
          <w:bCs/>
          <w:sz w:val="22"/>
          <w:szCs w:val="22"/>
          <w:lang w:val="en-US"/>
        </w:rPr>
        <w:t>Call for Papers – EUM Series “Economics and Law”</w:t>
      </w:r>
    </w:p>
    <w:p w14:paraId="53ED25C2" w14:textId="77777777" w:rsidR="00C5650A" w:rsidRPr="00EC6B0F" w:rsidRDefault="00C5650A" w:rsidP="00EC6B0F">
      <w:pPr>
        <w:pStyle w:val="NormaleWeb"/>
        <w:spacing w:before="0" w:beforeAutospacing="0" w:after="0" w:afterAutospacing="0" w:line="264" w:lineRule="auto"/>
        <w:jc w:val="center"/>
        <w:rPr>
          <w:rFonts w:asciiTheme="minorHAnsi" w:hAnsiTheme="minorHAnsi" w:cstheme="minorHAnsi"/>
          <w:b/>
          <w:bCs/>
          <w:sz w:val="22"/>
          <w:szCs w:val="22"/>
          <w:lang w:val="en-US"/>
        </w:rPr>
      </w:pPr>
    </w:p>
    <w:p w14:paraId="2CE89FD4" w14:textId="359806C8" w:rsidR="00473E34" w:rsidRPr="00EC6B0F" w:rsidRDefault="00473E34" w:rsidP="00EC6B0F">
      <w:pPr>
        <w:pStyle w:val="NormaleWeb"/>
        <w:spacing w:before="0" w:beforeAutospacing="0" w:after="0" w:afterAutospacing="0" w:line="264" w:lineRule="auto"/>
        <w:jc w:val="center"/>
        <w:rPr>
          <w:rFonts w:asciiTheme="minorHAnsi" w:hAnsiTheme="minorHAnsi" w:cstheme="minorHAnsi"/>
          <w:b/>
          <w:bCs/>
          <w:sz w:val="22"/>
          <w:szCs w:val="22"/>
          <w:lang w:val="en-US"/>
        </w:rPr>
      </w:pPr>
      <w:r w:rsidRPr="00EC6B0F">
        <w:rPr>
          <w:rFonts w:asciiTheme="minorHAnsi" w:hAnsiTheme="minorHAnsi" w:cstheme="minorHAnsi"/>
          <w:b/>
          <w:bCs/>
          <w:sz w:val="22"/>
          <w:szCs w:val="22"/>
          <w:lang w:val="en-US"/>
        </w:rPr>
        <w:t>Governing Uncertainty: Risk as a Mirror of a Changing Era</w:t>
      </w:r>
    </w:p>
    <w:p w14:paraId="4A17B8FB" w14:textId="7EED91E5" w:rsidR="00C5650A" w:rsidRPr="00EC6B0F" w:rsidRDefault="00C5650A" w:rsidP="00EC6B0F">
      <w:pPr>
        <w:pStyle w:val="NormaleWeb"/>
        <w:spacing w:before="0" w:beforeAutospacing="0" w:after="0" w:afterAutospacing="0" w:line="264" w:lineRule="auto"/>
        <w:jc w:val="center"/>
        <w:rPr>
          <w:rFonts w:asciiTheme="minorHAnsi" w:hAnsiTheme="minorHAnsi" w:cstheme="minorHAnsi"/>
          <w:b/>
          <w:bCs/>
          <w:sz w:val="22"/>
          <w:szCs w:val="22"/>
          <w:lang w:val="en-US"/>
        </w:rPr>
      </w:pPr>
      <w:r w:rsidRPr="00EC6B0F">
        <w:rPr>
          <w:rFonts w:asciiTheme="minorHAnsi" w:hAnsiTheme="minorHAnsi" w:cstheme="minorHAnsi"/>
          <w:b/>
          <w:bCs/>
          <w:sz w:val="22"/>
          <w:szCs w:val="22"/>
          <w:lang w:val="en-US"/>
        </w:rPr>
        <w:t xml:space="preserve">Edited by Alberto </w:t>
      </w:r>
      <w:proofErr w:type="spellStart"/>
      <w:r w:rsidRPr="00EC6B0F">
        <w:rPr>
          <w:rFonts w:asciiTheme="minorHAnsi" w:hAnsiTheme="minorHAnsi" w:cstheme="minorHAnsi"/>
          <w:b/>
          <w:bCs/>
          <w:sz w:val="22"/>
          <w:szCs w:val="22"/>
          <w:lang w:val="en-US"/>
        </w:rPr>
        <w:t>Zanutto</w:t>
      </w:r>
      <w:proofErr w:type="spellEnd"/>
      <w:r w:rsidRPr="00EC6B0F">
        <w:rPr>
          <w:rFonts w:asciiTheme="minorHAnsi" w:hAnsiTheme="minorHAnsi" w:cstheme="minorHAnsi"/>
          <w:b/>
          <w:bCs/>
          <w:sz w:val="22"/>
          <w:szCs w:val="22"/>
          <w:lang w:val="en-US"/>
        </w:rPr>
        <w:t xml:space="preserve"> and Luca </w:t>
      </w:r>
      <w:proofErr w:type="spellStart"/>
      <w:r w:rsidRPr="00EC6B0F">
        <w:rPr>
          <w:rFonts w:asciiTheme="minorHAnsi" w:hAnsiTheme="minorHAnsi" w:cstheme="minorHAnsi"/>
          <w:b/>
          <w:bCs/>
          <w:sz w:val="22"/>
          <w:szCs w:val="22"/>
          <w:lang w:val="en-US"/>
        </w:rPr>
        <w:t>Riccetti</w:t>
      </w:r>
      <w:proofErr w:type="spellEnd"/>
    </w:p>
    <w:p w14:paraId="6AEA2270" w14:textId="77777777" w:rsidR="00BD202D" w:rsidRPr="00EC6B0F" w:rsidRDefault="00BD202D" w:rsidP="00EC6B0F">
      <w:pPr>
        <w:pStyle w:val="NormaleWeb"/>
        <w:spacing w:before="0" w:beforeAutospacing="0" w:after="0" w:afterAutospacing="0" w:line="264" w:lineRule="auto"/>
        <w:rPr>
          <w:rFonts w:asciiTheme="minorHAnsi" w:hAnsiTheme="minorHAnsi" w:cstheme="minorHAnsi"/>
          <w:sz w:val="22"/>
          <w:szCs w:val="22"/>
          <w:lang w:val="en-US"/>
        </w:rPr>
      </w:pPr>
    </w:p>
    <w:p w14:paraId="0BBF29EF" w14:textId="166CE717" w:rsidR="00BD202D" w:rsidRPr="00EC6B0F" w:rsidRDefault="00BD202D" w:rsidP="003D61E3">
      <w:pPr>
        <w:pStyle w:val="NormaleWeb"/>
        <w:spacing w:before="0" w:beforeAutospacing="0" w:after="0" w:afterAutospacing="0" w:line="264" w:lineRule="auto"/>
        <w:jc w:val="both"/>
        <w:rPr>
          <w:rFonts w:asciiTheme="minorHAnsi" w:hAnsiTheme="minorHAnsi" w:cstheme="minorHAnsi"/>
          <w:sz w:val="22"/>
          <w:szCs w:val="22"/>
          <w:lang w:val="en-US"/>
        </w:rPr>
      </w:pPr>
      <w:r w:rsidRPr="00EC6B0F">
        <w:rPr>
          <w:rFonts w:asciiTheme="minorHAnsi" w:hAnsiTheme="minorHAnsi" w:cstheme="minorHAnsi"/>
          <w:sz w:val="22"/>
          <w:szCs w:val="22"/>
          <w:lang w:val="en-US"/>
        </w:rPr>
        <w:t>Risk has become a key lens through which contemporary societies reflect on their choices, yet its growing prominence in public discourse rarely translates into concrete action. It emerges from two interconnected processes: the erosion of multilateral institutions and cooperative frameworks, increasingly replaced by transactional relationships and power-based competition, and the growing scarcity of resources, including energy, water, raw materials, and the ecological capacity to absorb environmental pressures. Global interdependencies can themselves become instruments of coercion, while organizational routines and cognitive biases may prevent the timely recognition of emerging threats.</w:t>
      </w:r>
    </w:p>
    <w:p w14:paraId="3FB86DA5" w14:textId="77777777" w:rsidR="00BD202D" w:rsidRPr="00EC6B0F" w:rsidRDefault="00BD202D" w:rsidP="003D61E3">
      <w:pPr>
        <w:pStyle w:val="NormaleWeb"/>
        <w:spacing w:before="0" w:beforeAutospacing="0" w:after="0" w:afterAutospacing="0" w:line="264" w:lineRule="auto"/>
        <w:jc w:val="both"/>
        <w:rPr>
          <w:rFonts w:asciiTheme="minorHAnsi" w:hAnsiTheme="minorHAnsi" w:cstheme="minorHAnsi"/>
          <w:sz w:val="22"/>
          <w:szCs w:val="22"/>
          <w:lang w:val="en-US"/>
        </w:rPr>
      </w:pPr>
      <w:r w:rsidRPr="00EC6B0F">
        <w:rPr>
          <w:rFonts w:asciiTheme="minorHAnsi" w:hAnsiTheme="minorHAnsi" w:cstheme="minorHAnsi"/>
          <w:sz w:val="22"/>
          <w:szCs w:val="22"/>
          <w:lang w:val="en-US"/>
        </w:rPr>
        <w:t>Risk is not merely something to be measured and managed: organizations can also generate risks and transfer their costs to others. Its distribution is inherently political, raising questions about who makes decisions, who benefits, and who bears their consequences. This perspective invites a critical reassessment of the historical arrangements that have protected the interests of Western and Northern economies, often externalizing environmental, social, and financial costs to other regions and future generations.</w:t>
      </w:r>
    </w:p>
    <w:p w14:paraId="21533925" w14:textId="585B85F5" w:rsidR="00BD202D" w:rsidRPr="00EC6B0F" w:rsidRDefault="00BD202D" w:rsidP="003D61E3">
      <w:pPr>
        <w:pStyle w:val="NormaleWeb"/>
        <w:spacing w:before="0" w:beforeAutospacing="0" w:after="0" w:afterAutospacing="0" w:line="264" w:lineRule="auto"/>
        <w:jc w:val="both"/>
        <w:rPr>
          <w:rFonts w:asciiTheme="minorHAnsi" w:hAnsiTheme="minorHAnsi" w:cstheme="minorHAnsi"/>
          <w:sz w:val="22"/>
          <w:szCs w:val="22"/>
          <w:lang w:val="en-US"/>
        </w:rPr>
      </w:pPr>
      <w:r w:rsidRPr="00EC6B0F">
        <w:rPr>
          <w:rFonts w:asciiTheme="minorHAnsi" w:hAnsiTheme="minorHAnsi" w:cstheme="minorHAnsi"/>
          <w:sz w:val="22"/>
          <w:szCs w:val="22"/>
          <w:lang w:val="en-US"/>
        </w:rPr>
        <w:t>We therefore invite contributions that explore risk in its complexity, as both a threat and an opportunity. The call welcomes theoretical, empirical, methodological, legal, and critical contributions, as well as case studies and practical experiences. By embracing diverse disciplinary perspectives, the collective volume will seek to develop a multifaceted map of contemporary risks, revealing unexpected convergences, neglected opportunities, and significant gaps in how risks are understood and addressed.</w:t>
      </w:r>
    </w:p>
    <w:p w14:paraId="37EC39C4" w14:textId="77777777" w:rsidR="00BD202D" w:rsidRPr="00EC6B0F" w:rsidRDefault="00BD202D" w:rsidP="003D61E3">
      <w:pPr>
        <w:pStyle w:val="NormaleWeb"/>
        <w:spacing w:before="0" w:beforeAutospacing="0" w:after="0" w:afterAutospacing="0" w:line="264" w:lineRule="auto"/>
        <w:jc w:val="both"/>
        <w:rPr>
          <w:rFonts w:asciiTheme="minorHAnsi" w:hAnsiTheme="minorHAnsi" w:cstheme="minorHAnsi"/>
          <w:sz w:val="22"/>
          <w:szCs w:val="22"/>
          <w:lang w:val="en-US"/>
        </w:rPr>
      </w:pPr>
    </w:p>
    <w:p w14:paraId="5B914BEF" w14:textId="2065894F" w:rsidR="00BD202D" w:rsidRPr="00EC6B0F" w:rsidRDefault="00BD202D" w:rsidP="003D61E3">
      <w:pPr>
        <w:spacing w:after="0" w:line="264" w:lineRule="auto"/>
        <w:jc w:val="both"/>
        <w:rPr>
          <w:rFonts w:cstheme="minorHAnsi"/>
          <w:b/>
          <w:bCs/>
          <w:lang w:val="en-US"/>
        </w:rPr>
      </w:pPr>
      <w:r w:rsidRPr="00EC6B0F">
        <w:rPr>
          <w:rFonts w:cstheme="minorHAnsi"/>
          <w:b/>
          <w:bCs/>
          <w:lang w:val="en-US"/>
        </w:rPr>
        <w:t>Thematic Areas</w:t>
      </w:r>
    </w:p>
    <w:p w14:paraId="564050E0" w14:textId="38837F6B" w:rsidR="00BD202D" w:rsidRPr="00EC6B0F" w:rsidRDefault="00BD202D" w:rsidP="003D61E3">
      <w:pPr>
        <w:spacing w:after="0" w:line="264" w:lineRule="auto"/>
        <w:jc w:val="both"/>
        <w:rPr>
          <w:rFonts w:cstheme="minorHAnsi"/>
          <w:lang w:val="en-US"/>
        </w:rPr>
      </w:pPr>
      <w:r w:rsidRPr="00EC6B0F">
        <w:rPr>
          <w:rFonts w:cstheme="minorHAnsi"/>
          <w:lang w:val="en-US"/>
        </w:rPr>
        <w:t>This call for papers focuses on risk, broadly understood and explored through its different epistemological dimensions. Particular attention will be devoted both to risks at the forefront of contemporary debate, such as geopolitical risk, climate risk and the risks associated with the ecological transition, cultural risk, and technological risks arising from the development of artificial intelligence, and to more traditional forms of risk, such as those faced by entrepreneurs and by actors operating across different global regions. These are also interconnected with risks arising from global financial dynamics.</w:t>
      </w:r>
    </w:p>
    <w:p w14:paraId="4120CD23" w14:textId="27BBF514" w:rsidR="00BD202D" w:rsidRPr="00EC6B0F" w:rsidRDefault="00BD202D" w:rsidP="003D61E3">
      <w:pPr>
        <w:spacing w:after="0" w:line="264" w:lineRule="auto"/>
        <w:jc w:val="both"/>
        <w:rPr>
          <w:rFonts w:cstheme="minorHAnsi"/>
          <w:lang w:val="en-US"/>
        </w:rPr>
      </w:pPr>
      <w:r w:rsidRPr="00EC6B0F">
        <w:rPr>
          <w:rFonts w:cstheme="minorHAnsi"/>
          <w:lang w:val="en-US"/>
        </w:rPr>
        <w:t>The following thematic areas are intended as open, non-exclusive suggestions for exploring the different dimensions of risk:</w:t>
      </w:r>
    </w:p>
    <w:p w14:paraId="226A9275" w14:textId="19694E3D" w:rsidR="00BD202D" w:rsidRPr="00EC6B0F" w:rsidRDefault="00BD202D" w:rsidP="003D61E3">
      <w:pPr>
        <w:spacing w:after="0" w:line="264" w:lineRule="auto"/>
        <w:jc w:val="both"/>
        <w:rPr>
          <w:rFonts w:cstheme="minorHAnsi"/>
          <w:lang w:val="en-US"/>
        </w:rPr>
      </w:pPr>
      <w:r w:rsidRPr="00EC6B0F">
        <w:rPr>
          <w:rFonts w:cstheme="minorHAnsi"/>
          <w:lang w:val="en-US"/>
        </w:rPr>
        <w:t xml:space="preserve">- </w:t>
      </w:r>
      <w:r w:rsidRPr="00EC6B0F">
        <w:rPr>
          <w:rFonts w:cstheme="minorHAnsi"/>
          <w:b/>
          <w:bCs/>
          <w:lang w:val="en-US"/>
        </w:rPr>
        <w:t>Legal</w:t>
      </w:r>
      <w:r w:rsidRPr="00EC6B0F">
        <w:rPr>
          <w:rFonts w:cstheme="minorHAnsi"/>
          <w:lang w:val="en-US"/>
        </w:rPr>
        <w:t xml:space="preserve"> dimension: risk understood in terms of regulation and accountability, encompassing risk-based approaches (as in European regulation of artificial intelligence; Veale and </w:t>
      </w:r>
      <w:proofErr w:type="spellStart"/>
      <w:r w:rsidRPr="00EC6B0F">
        <w:rPr>
          <w:rFonts w:cstheme="minorHAnsi"/>
          <w:lang w:val="en-US"/>
        </w:rPr>
        <w:t>Zuiderveen</w:t>
      </w:r>
      <w:proofErr w:type="spellEnd"/>
      <w:r w:rsidRPr="00EC6B0F">
        <w:rPr>
          <w:rFonts w:cstheme="minorHAnsi"/>
          <w:lang w:val="en-US"/>
        </w:rPr>
        <w:t xml:space="preserve"> </w:t>
      </w:r>
      <w:proofErr w:type="spellStart"/>
      <w:r w:rsidRPr="00EC6B0F">
        <w:rPr>
          <w:rFonts w:cstheme="minorHAnsi"/>
          <w:lang w:val="en-US"/>
        </w:rPr>
        <w:t>Borgesius</w:t>
      </w:r>
      <w:proofErr w:type="spellEnd"/>
      <w:r w:rsidRPr="00EC6B0F">
        <w:rPr>
          <w:rFonts w:cstheme="minorHAnsi"/>
          <w:lang w:val="en-US"/>
        </w:rPr>
        <w:t>, 2021), the protection of rights, organizational structures, and corporate distress, with reference to both national and international law.</w:t>
      </w:r>
    </w:p>
    <w:p w14:paraId="6D8144B4" w14:textId="3E38E7AD" w:rsidR="00BD202D" w:rsidRPr="00EC6B0F" w:rsidRDefault="00BD202D" w:rsidP="003D61E3">
      <w:pPr>
        <w:spacing w:after="0" w:line="264" w:lineRule="auto"/>
        <w:jc w:val="both"/>
        <w:rPr>
          <w:rFonts w:cstheme="minorHAnsi"/>
          <w:lang w:val="en-US"/>
        </w:rPr>
      </w:pPr>
      <w:r w:rsidRPr="00EC6B0F">
        <w:rPr>
          <w:rFonts w:cstheme="minorHAnsi"/>
          <w:lang w:val="en-US"/>
        </w:rPr>
        <w:t xml:space="preserve">- </w:t>
      </w:r>
      <w:r w:rsidRPr="00EC6B0F">
        <w:rPr>
          <w:rFonts w:cstheme="minorHAnsi"/>
          <w:b/>
          <w:bCs/>
          <w:lang w:val="en-US"/>
        </w:rPr>
        <w:t>Economic</w:t>
      </w:r>
      <w:r w:rsidRPr="00EC6B0F">
        <w:rPr>
          <w:rFonts w:cstheme="minorHAnsi"/>
          <w:lang w:val="en-US"/>
        </w:rPr>
        <w:t xml:space="preserve"> dimension: contributions that help interpret geopolitical instability (Caldara and </w:t>
      </w:r>
      <w:proofErr w:type="spellStart"/>
      <w:r w:rsidRPr="00EC6B0F">
        <w:rPr>
          <w:rFonts w:cstheme="minorHAnsi"/>
          <w:lang w:val="en-US"/>
        </w:rPr>
        <w:t>Iacoviello</w:t>
      </w:r>
      <w:proofErr w:type="spellEnd"/>
      <w:r w:rsidRPr="00EC6B0F">
        <w:rPr>
          <w:rFonts w:cstheme="minorHAnsi"/>
          <w:lang w:val="en-US"/>
        </w:rPr>
        <w:t>, 2022), the complexity of value chains, uncertainty, and the distribution of the costs of risk between the Global North and the Global South, as well as across different geopolitical regions.</w:t>
      </w:r>
    </w:p>
    <w:p w14:paraId="1335A20F" w14:textId="35F05C8E" w:rsidR="00BD202D" w:rsidRPr="00EC6B0F" w:rsidRDefault="00BD202D" w:rsidP="003D61E3">
      <w:pPr>
        <w:spacing w:after="0" w:line="264" w:lineRule="auto"/>
        <w:jc w:val="both"/>
        <w:rPr>
          <w:rFonts w:cstheme="minorHAnsi"/>
          <w:lang w:val="en-US"/>
        </w:rPr>
      </w:pPr>
      <w:r w:rsidRPr="00EC6B0F">
        <w:rPr>
          <w:rFonts w:cstheme="minorHAnsi"/>
          <w:lang w:val="en-US"/>
        </w:rPr>
        <w:t>- Management: risk governance and culture, resilience and business continuity, and decision-making under conditions of uncertainty.</w:t>
      </w:r>
    </w:p>
    <w:p w14:paraId="0B96C5E3" w14:textId="3A46238F" w:rsidR="00BD202D" w:rsidRPr="00EC6B0F" w:rsidRDefault="00BD202D" w:rsidP="003D61E3">
      <w:pPr>
        <w:spacing w:after="0" w:line="264" w:lineRule="auto"/>
        <w:jc w:val="both"/>
        <w:rPr>
          <w:rFonts w:cstheme="minorHAnsi"/>
          <w:lang w:val="en-US"/>
        </w:rPr>
      </w:pPr>
      <w:r w:rsidRPr="00EC6B0F">
        <w:rPr>
          <w:rFonts w:cstheme="minorHAnsi"/>
          <w:lang w:val="en-US"/>
        </w:rPr>
        <w:t xml:space="preserve">- </w:t>
      </w:r>
      <w:r w:rsidRPr="00EC6B0F">
        <w:rPr>
          <w:rFonts w:cstheme="minorHAnsi"/>
          <w:b/>
          <w:bCs/>
          <w:lang w:val="en-US"/>
        </w:rPr>
        <w:t>Organizational</w:t>
      </w:r>
      <w:r w:rsidRPr="00EC6B0F">
        <w:rPr>
          <w:rFonts w:cstheme="minorHAnsi"/>
          <w:lang w:val="en-US"/>
        </w:rPr>
        <w:t xml:space="preserve"> dimension: organizations as settings in which risk is both produced and managed, and as outcomes of social construction, perception, and communication. These processes may also reproduce inequalities, including those associated with gender, age, ethnicity, and other dimensions of social difference.</w:t>
      </w:r>
    </w:p>
    <w:p w14:paraId="32323DED" w14:textId="43F82B13" w:rsidR="00BD202D" w:rsidRPr="00EC6B0F" w:rsidRDefault="00BD202D" w:rsidP="003D61E3">
      <w:pPr>
        <w:spacing w:after="0" w:line="264" w:lineRule="auto"/>
        <w:jc w:val="both"/>
        <w:rPr>
          <w:rFonts w:cstheme="minorHAnsi"/>
          <w:lang w:val="en-US"/>
        </w:rPr>
      </w:pPr>
      <w:r w:rsidRPr="00EC6B0F">
        <w:rPr>
          <w:rFonts w:cstheme="minorHAnsi"/>
          <w:lang w:val="en-US"/>
        </w:rPr>
        <w:t xml:space="preserve">- </w:t>
      </w:r>
      <w:r w:rsidRPr="00EC6B0F">
        <w:rPr>
          <w:rFonts w:cstheme="minorHAnsi"/>
          <w:b/>
          <w:bCs/>
          <w:lang w:val="en-US"/>
        </w:rPr>
        <w:t>Financial</w:t>
      </w:r>
      <w:r w:rsidRPr="00EC6B0F">
        <w:rPr>
          <w:rFonts w:cstheme="minorHAnsi"/>
          <w:lang w:val="en-US"/>
        </w:rPr>
        <w:t xml:space="preserve"> dimension: credit, liquidity, </w:t>
      </w:r>
      <w:r w:rsidR="0027445E" w:rsidRPr="00EC6B0F">
        <w:rPr>
          <w:rFonts w:cstheme="minorHAnsi"/>
          <w:lang w:val="en-US"/>
        </w:rPr>
        <w:t xml:space="preserve">operational </w:t>
      </w:r>
      <w:r w:rsidRPr="00EC6B0F">
        <w:rPr>
          <w:rFonts w:cstheme="minorHAnsi"/>
          <w:lang w:val="en-US"/>
        </w:rPr>
        <w:t xml:space="preserve">and market risk; financial instability and systemic risk, including from the perspective of contagion networks (Haldane and May, 2011); sovereign and corporate debt risk; and the impacts of climate change and instability across different regulatory subsystems. The relationship between the ecological transition and financial stability is illustrated, for example, by climate </w:t>
      </w:r>
      <w:r w:rsidRPr="00EC6B0F">
        <w:rPr>
          <w:rFonts w:cstheme="minorHAnsi"/>
          <w:lang w:val="en-US"/>
        </w:rPr>
        <w:lastRenderedPageBreak/>
        <w:t>stress tests, which examine how exposures are transmitted through financial networks and how the timing of transition policies affects these processes (</w:t>
      </w:r>
      <w:proofErr w:type="spellStart"/>
      <w:r w:rsidRPr="00EC6B0F">
        <w:rPr>
          <w:rFonts w:cstheme="minorHAnsi"/>
          <w:lang w:val="en-US"/>
        </w:rPr>
        <w:t>Battiston</w:t>
      </w:r>
      <w:proofErr w:type="spellEnd"/>
      <w:r w:rsidRPr="00EC6B0F">
        <w:rPr>
          <w:rFonts w:cstheme="minorHAnsi"/>
          <w:lang w:val="en-US"/>
        </w:rPr>
        <w:t xml:space="preserve"> et al., 2017).</w:t>
      </w:r>
    </w:p>
    <w:p w14:paraId="4C7E8A3C" w14:textId="70ECE028" w:rsidR="00BD202D" w:rsidRPr="00EC6B0F" w:rsidRDefault="00BD202D" w:rsidP="003D61E3">
      <w:pPr>
        <w:spacing w:after="0" w:line="264" w:lineRule="auto"/>
        <w:jc w:val="both"/>
        <w:rPr>
          <w:rFonts w:cstheme="minorHAnsi"/>
          <w:lang w:val="en-US"/>
        </w:rPr>
      </w:pPr>
      <w:r w:rsidRPr="00EC6B0F">
        <w:rPr>
          <w:rFonts w:cstheme="minorHAnsi"/>
          <w:lang w:val="en-US"/>
        </w:rPr>
        <w:t xml:space="preserve">- </w:t>
      </w:r>
      <w:r w:rsidRPr="00EC6B0F">
        <w:rPr>
          <w:rFonts w:cstheme="minorHAnsi"/>
          <w:b/>
          <w:bCs/>
          <w:lang w:val="en-US"/>
        </w:rPr>
        <w:t>Information technology and cybersecurity</w:t>
      </w:r>
      <w:r w:rsidRPr="00EC6B0F">
        <w:rPr>
          <w:rFonts w:cstheme="minorHAnsi"/>
          <w:lang w:val="en-US"/>
        </w:rPr>
        <w:t>: the security of IT systems and infrastructure in general, including industrial systems, and the risks arising from the implementation of new artificial intelligence systems across different forms and applications, including data-</w:t>
      </w:r>
      <w:r w:rsidR="0027445E" w:rsidRPr="00EC6B0F">
        <w:rPr>
          <w:rFonts w:cstheme="minorHAnsi"/>
          <w:lang w:val="en-US"/>
        </w:rPr>
        <w:t>center</w:t>
      </w:r>
      <w:r w:rsidRPr="00EC6B0F">
        <w:rPr>
          <w:rFonts w:cstheme="minorHAnsi"/>
          <w:lang w:val="en-US"/>
        </w:rPr>
        <w:t xml:space="preserve"> infrastructure. In relation to artificial intelligence, contributions may also examine the risks of separating technical models from the social and institutional contexts in which they operate: fairness requires consideration of the entire sociotechnical system (</w:t>
      </w:r>
      <w:proofErr w:type="spellStart"/>
      <w:r w:rsidRPr="00EC6B0F">
        <w:rPr>
          <w:rFonts w:cstheme="minorHAnsi"/>
          <w:lang w:val="en-US"/>
        </w:rPr>
        <w:t>Selbst</w:t>
      </w:r>
      <w:proofErr w:type="spellEnd"/>
      <w:r w:rsidRPr="00EC6B0F">
        <w:rPr>
          <w:rFonts w:cstheme="minorHAnsi"/>
          <w:lang w:val="en-US"/>
        </w:rPr>
        <w:t xml:space="preserve"> et al., 2019).</w:t>
      </w:r>
    </w:p>
    <w:p w14:paraId="2D89F12C" w14:textId="1358336C" w:rsidR="00BD202D" w:rsidRPr="00EC6B0F" w:rsidRDefault="00BD202D" w:rsidP="003D61E3">
      <w:pPr>
        <w:spacing w:after="0" w:line="264" w:lineRule="auto"/>
        <w:jc w:val="both"/>
        <w:rPr>
          <w:rFonts w:cstheme="minorHAnsi"/>
          <w:lang w:val="en-US"/>
        </w:rPr>
      </w:pPr>
      <w:r w:rsidRPr="00EC6B0F">
        <w:rPr>
          <w:rFonts w:cstheme="minorHAnsi"/>
          <w:lang w:val="en-US"/>
        </w:rPr>
        <w:t xml:space="preserve">- </w:t>
      </w:r>
      <w:r w:rsidRPr="00EC6B0F">
        <w:rPr>
          <w:rFonts w:cstheme="minorHAnsi"/>
          <w:b/>
          <w:bCs/>
          <w:lang w:val="en-US"/>
        </w:rPr>
        <w:t>Culture and heritage</w:t>
      </w:r>
      <w:r w:rsidRPr="00EC6B0F">
        <w:rPr>
          <w:rFonts w:cstheme="minorHAnsi"/>
          <w:lang w:val="en-US"/>
        </w:rPr>
        <w:t>: risks relating to our responsibility towards cultural heritage and collective knowledge, which may be lost; towards the climate and the physical systems through which goods, people, capital, and ideas circulate; and towards the protection of personal and copyright-related rights. One possible point of intersection between these areas concerns the effects of climate change on tangible cultural heritage, ranging from gradual deterioration to damage caused by extreme events (</w:t>
      </w:r>
      <w:proofErr w:type="spellStart"/>
      <w:r w:rsidRPr="00EC6B0F">
        <w:rPr>
          <w:rFonts w:cstheme="minorHAnsi"/>
          <w:lang w:val="en-US"/>
        </w:rPr>
        <w:t>Sesana</w:t>
      </w:r>
      <w:proofErr w:type="spellEnd"/>
      <w:r w:rsidRPr="00EC6B0F">
        <w:rPr>
          <w:rFonts w:cstheme="minorHAnsi"/>
          <w:lang w:val="en-US"/>
        </w:rPr>
        <w:t xml:space="preserve"> et al., 2021).</w:t>
      </w:r>
    </w:p>
    <w:p w14:paraId="1FF5E281" w14:textId="6257A180" w:rsidR="00BD202D" w:rsidRPr="00EC6B0F" w:rsidRDefault="00BD202D" w:rsidP="003D61E3">
      <w:pPr>
        <w:spacing w:after="0" w:line="264" w:lineRule="auto"/>
        <w:jc w:val="both"/>
        <w:rPr>
          <w:rFonts w:cstheme="minorHAnsi"/>
          <w:lang w:val="en-US"/>
        </w:rPr>
      </w:pPr>
      <w:r w:rsidRPr="00EC6B0F">
        <w:rPr>
          <w:rFonts w:cstheme="minorHAnsi"/>
          <w:lang w:val="en-US"/>
        </w:rPr>
        <w:t xml:space="preserve">- </w:t>
      </w:r>
      <w:r w:rsidRPr="00EC6B0F">
        <w:rPr>
          <w:rFonts w:cstheme="minorHAnsi"/>
          <w:b/>
          <w:bCs/>
          <w:lang w:val="en-US"/>
        </w:rPr>
        <w:t>Open thematic area</w:t>
      </w:r>
      <w:r w:rsidRPr="00EC6B0F">
        <w:rPr>
          <w:rFonts w:cstheme="minorHAnsi"/>
          <w:lang w:val="en-US"/>
        </w:rPr>
        <w:t>: proposals that do not fit precisely within the preceding categories, provided they are consistent with the overall theme and offer additional perspectives for a multifaceted understanding of the experience of risk.</w:t>
      </w:r>
    </w:p>
    <w:p w14:paraId="75900CDE" w14:textId="77777777" w:rsidR="00BD202D" w:rsidRPr="00EC6B0F" w:rsidRDefault="00BD202D" w:rsidP="003D61E3">
      <w:pPr>
        <w:spacing w:after="0" w:line="264" w:lineRule="auto"/>
        <w:jc w:val="both"/>
        <w:rPr>
          <w:rFonts w:cstheme="minorHAnsi"/>
          <w:lang w:val="en-US"/>
        </w:rPr>
      </w:pPr>
      <w:r w:rsidRPr="00EC6B0F">
        <w:rPr>
          <w:rFonts w:cstheme="minorHAnsi"/>
          <w:lang w:val="en-US"/>
        </w:rPr>
        <w:t>Contributions drawing on different epistemologies and perspectives are particularly welcome. Risk may be understood as a measurable quantity, a social construct, a communication code within systems, or a form of uncertainty that cannot be reduced to probabilities, extending to conditions of ambiguity and ignorance (Stirling, 2010). Methodological pluralism, mixed methods, and open-science practices are encouraged, including the sharing of data and research materials and the promotion of replicability.</w:t>
      </w:r>
    </w:p>
    <w:p w14:paraId="74123CA0" w14:textId="02FF0FDC" w:rsidR="00BD202D" w:rsidRPr="00EC6B0F" w:rsidRDefault="00BD202D" w:rsidP="003D61E3">
      <w:pPr>
        <w:spacing w:after="0" w:line="264" w:lineRule="auto"/>
        <w:jc w:val="both"/>
        <w:rPr>
          <w:rFonts w:cstheme="minorHAnsi"/>
          <w:lang w:val="en-US"/>
        </w:rPr>
      </w:pPr>
      <w:r w:rsidRPr="00EC6B0F">
        <w:rPr>
          <w:rFonts w:cstheme="minorHAnsi"/>
          <w:lang w:val="en-US"/>
        </w:rPr>
        <w:t>Risk has always been part of human experience and of the lives of people navigating different social contexts. Contributions that highlight the role of lateral thinking, creativity, and the many forms that responsibility can take are especially welcome. No single discipline can claim to encompass a topic of such breadth. Accordingly, contributions that explore teaching approaches attentive to the multiple dimensions of risk, and that encourage a re-examination of taken-for-granted assumptions through the lens of social innovation, will be particularly appreciated.</w:t>
      </w:r>
    </w:p>
    <w:p w14:paraId="516C7466" w14:textId="78C8A808" w:rsidR="00BD202D" w:rsidRPr="00EC6B0F" w:rsidRDefault="00BD202D" w:rsidP="003D61E3">
      <w:pPr>
        <w:spacing w:after="0" w:line="264" w:lineRule="auto"/>
        <w:jc w:val="both"/>
        <w:rPr>
          <w:rFonts w:cstheme="minorHAnsi"/>
          <w:lang w:val="en-US"/>
        </w:rPr>
      </w:pPr>
      <w:r w:rsidRPr="00EC6B0F">
        <w:rPr>
          <w:rFonts w:cstheme="minorHAnsi"/>
          <w:lang w:val="en-US"/>
        </w:rPr>
        <w:t xml:space="preserve">The call is open to colleagues at all career stages, as well as PhD candidates, postdoctoral researchers, and scholars with teaching and research interests in the relevant fields. We encourage collaborative contributions involving scholars from other Italian and international institutions. Submissions will be evaluated through a </w:t>
      </w:r>
      <w:r w:rsidR="007F3171" w:rsidRPr="00EC6B0F">
        <w:rPr>
          <w:rFonts w:cstheme="minorHAnsi"/>
          <w:lang w:val="en-US"/>
        </w:rPr>
        <w:t>double</w:t>
      </w:r>
      <w:r w:rsidRPr="00EC6B0F">
        <w:rPr>
          <w:rFonts w:cstheme="minorHAnsi"/>
          <w:lang w:val="en-US"/>
        </w:rPr>
        <w:t>-blind peer-review process. The review process is intended to be constructive: reviewers are encouraged to provide recommendations that help improve submissions, combining developmental support with selection, within a clearly defined timeframe.</w:t>
      </w:r>
    </w:p>
    <w:p w14:paraId="48BA3D01" w14:textId="77777777" w:rsidR="00BD202D" w:rsidRPr="00EC6B0F" w:rsidRDefault="00BD202D" w:rsidP="003D61E3">
      <w:pPr>
        <w:spacing w:after="0" w:line="264" w:lineRule="auto"/>
        <w:jc w:val="both"/>
        <w:rPr>
          <w:rFonts w:cstheme="minorHAnsi"/>
          <w:lang w:val="en-US"/>
        </w:rPr>
      </w:pPr>
    </w:p>
    <w:p w14:paraId="77F9AE1B" w14:textId="05841E2B" w:rsidR="00BD202D" w:rsidRPr="00EC6B0F" w:rsidRDefault="00BD202D" w:rsidP="003D61E3">
      <w:pPr>
        <w:spacing w:after="0" w:line="264" w:lineRule="auto"/>
        <w:jc w:val="both"/>
        <w:rPr>
          <w:rFonts w:cstheme="minorHAnsi"/>
          <w:b/>
          <w:bCs/>
          <w:lang w:val="en-US"/>
        </w:rPr>
      </w:pPr>
      <w:r w:rsidRPr="00EC6B0F">
        <w:rPr>
          <w:rFonts w:cstheme="minorHAnsi"/>
          <w:b/>
          <w:bCs/>
          <w:lang w:val="en-US"/>
        </w:rPr>
        <w:t>Submission Guidelines</w:t>
      </w:r>
    </w:p>
    <w:p w14:paraId="4F1F45F2" w14:textId="2668A767" w:rsidR="00BD202D" w:rsidRPr="00EC6B0F" w:rsidRDefault="00BD202D" w:rsidP="003D61E3">
      <w:pPr>
        <w:spacing w:after="0" w:line="264" w:lineRule="auto"/>
        <w:jc w:val="both"/>
        <w:rPr>
          <w:rFonts w:cstheme="minorHAnsi"/>
          <w:lang w:val="en-US"/>
        </w:rPr>
      </w:pPr>
      <w:r w:rsidRPr="00EC6B0F">
        <w:rPr>
          <w:rFonts w:cstheme="minorHAnsi"/>
          <w:lang w:val="en-US"/>
        </w:rPr>
        <w:t>Contributions may be written in Italian or English and must follow the EUM editorial template. Submissions should be sent by email to</w:t>
      </w:r>
      <w:r w:rsidR="0027445E" w:rsidRPr="00EC6B0F">
        <w:rPr>
          <w:rFonts w:cstheme="minorHAnsi"/>
          <w:lang w:val="en-US"/>
        </w:rPr>
        <w:t xml:space="preserve"> </w:t>
      </w:r>
      <w:r w:rsidR="0027445E" w:rsidRPr="003D61E3">
        <w:rPr>
          <w:rFonts w:cstheme="minorHAnsi"/>
          <w:lang w:val="en-US"/>
        </w:rPr>
        <w:t>alberto.zanutto@unimc.it</w:t>
      </w:r>
      <w:r w:rsidR="0027445E" w:rsidRPr="00EC6B0F">
        <w:rPr>
          <w:rFonts w:cstheme="minorHAnsi"/>
          <w:lang w:val="en-US"/>
        </w:rPr>
        <w:t xml:space="preserve"> or to luca.riccetti@unimc.it</w:t>
      </w:r>
      <w:r w:rsidRPr="00EC6B0F">
        <w:rPr>
          <w:rFonts w:cstheme="minorHAnsi"/>
          <w:lang w:val="en-US"/>
        </w:rPr>
        <w:t xml:space="preserve">. For further information, please contact Alberto </w:t>
      </w:r>
      <w:proofErr w:type="spellStart"/>
      <w:r w:rsidRPr="00EC6B0F">
        <w:rPr>
          <w:rFonts w:cstheme="minorHAnsi"/>
          <w:lang w:val="en-US"/>
        </w:rPr>
        <w:t>Zanutto</w:t>
      </w:r>
      <w:proofErr w:type="spellEnd"/>
      <w:r w:rsidRPr="00EC6B0F">
        <w:rPr>
          <w:rFonts w:cstheme="minorHAnsi"/>
          <w:lang w:val="en-US"/>
        </w:rPr>
        <w:t xml:space="preserve"> and Luca </w:t>
      </w:r>
      <w:proofErr w:type="spellStart"/>
      <w:r w:rsidRPr="00EC6B0F">
        <w:rPr>
          <w:rFonts w:cstheme="minorHAnsi"/>
          <w:lang w:val="en-US"/>
        </w:rPr>
        <w:t>Riccetti</w:t>
      </w:r>
      <w:proofErr w:type="spellEnd"/>
      <w:r w:rsidRPr="00EC6B0F">
        <w:rPr>
          <w:rFonts w:cstheme="minorHAnsi"/>
          <w:lang w:val="en-US"/>
        </w:rPr>
        <w:t>.</w:t>
      </w:r>
    </w:p>
    <w:p w14:paraId="099B2D4D" w14:textId="2125946D" w:rsidR="00C5650A" w:rsidRPr="00EC6B0F" w:rsidRDefault="00C5650A" w:rsidP="003D61E3">
      <w:pPr>
        <w:spacing w:after="0" w:line="264" w:lineRule="auto"/>
        <w:jc w:val="both"/>
        <w:rPr>
          <w:rFonts w:cstheme="minorHAnsi"/>
          <w:lang w:val="en-US"/>
        </w:rPr>
      </w:pPr>
    </w:p>
    <w:p w14:paraId="68981531" w14:textId="77777777" w:rsidR="00C5650A" w:rsidRPr="00EC6B0F" w:rsidRDefault="00C5650A" w:rsidP="003D61E3">
      <w:pPr>
        <w:pStyle w:val="Default"/>
        <w:spacing w:line="264" w:lineRule="auto"/>
        <w:jc w:val="both"/>
        <w:rPr>
          <w:rFonts w:asciiTheme="minorHAnsi" w:hAnsiTheme="minorHAnsi" w:cstheme="minorHAnsi"/>
          <w:b/>
          <w:bCs/>
          <w:sz w:val="22"/>
          <w:szCs w:val="22"/>
          <w:lang w:val="en-US"/>
        </w:rPr>
      </w:pPr>
      <w:r w:rsidRPr="00EC6B0F">
        <w:rPr>
          <w:rFonts w:asciiTheme="minorHAnsi" w:hAnsiTheme="minorHAnsi" w:cstheme="minorHAnsi"/>
          <w:b/>
          <w:bCs/>
          <w:sz w:val="22"/>
          <w:szCs w:val="22"/>
          <w:lang w:val="en-US"/>
        </w:rPr>
        <w:t xml:space="preserve">TIMELINE: </w:t>
      </w:r>
    </w:p>
    <w:p w14:paraId="2D71E573" w14:textId="5950F87F" w:rsidR="00C5650A" w:rsidRPr="00EC6B0F" w:rsidRDefault="00C5650A" w:rsidP="003D61E3">
      <w:pPr>
        <w:pStyle w:val="Default"/>
        <w:spacing w:after="71" w:line="264" w:lineRule="auto"/>
        <w:jc w:val="both"/>
        <w:rPr>
          <w:rFonts w:asciiTheme="minorHAnsi" w:hAnsiTheme="minorHAnsi" w:cstheme="minorHAnsi"/>
          <w:sz w:val="22"/>
          <w:szCs w:val="22"/>
          <w:lang w:val="en-US"/>
        </w:rPr>
      </w:pPr>
      <w:r w:rsidRPr="00EC6B0F">
        <w:rPr>
          <w:rFonts w:asciiTheme="minorHAnsi" w:hAnsiTheme="minorHAnsi" w:cstheme="minorHAnsi"/>
          <w:sz w:val="22"/>
          <w:szCs w:val="22"/>
          <w:lang w:val="en-US"/>
        </w:rPr>
        <w:t xml:space="preserve">- by November 30, 2026 – submission of abstract (max </w:t>
      </w:r>
      <w:r w:rsidR="007F3171" w:rsidRPr="00EC6B0F">
        <w:rPr>
          <w:rFonts w:asciiTheme="minorHAnsi" w:hAnsiTheme="minorHAnsi" w:cstheme="minorHAnsi"/>
          <w:sz w:val="22"/>
          <w:szCs w:val="22"/>
          <w:lang w:val="en-US"/>
        </w:rPr>
        <w:t>3</w:t>
      </w:r>
      <w:r w:rsidRPr="00EC6B0F">
        <w:rPr>
          <w:rFonts w:asciiTheme="minorHAnsi" w:hAnsiTheme="minorHAnsi" w:cstheme="minorHAnsi"/>
          <w:sz w:val="22"/>
          <w:szCs w:val="22"/>
          <w:lang w:val="en-US"/>
        </w:rPr>
        <w:t xml:space="preserve">00 words); </w:t>
      </w:r>
    </w:p>
    <w:p w14:paraId="057C2ECB" w14:textId="5F1AFCE6" w:rsidR="00C5650A" w:rsidRPr="00EC6B0F" w:rsidRDefault="00C5650A" w:rsidP="003D61E3">
      <w:pPr>
        <w:pStyle w:val="Default"/>
        <w:spacing w:after="71" w:line="264" w:lineRule="auto"/>
        <w:jc w:val="both"/>
        <w:rPr>
          <w:rFonts w:asciiTheme="minorHAnsi" w:hAnsiTheme="minorHAnsi" w:cstheme="minorHAnsi"/>
          <w:sz w:val="22"/>
          <w:szCs w:val="22"/>
          <w:lang w:val="en-US"/>
        </w:rPr>
      </w:pPr>
      <w:r w:rsidRPr="00EC6B0F">
        <w:rPr>
          <w:rFonts w:asciiTheme="minorHAnsi" w:hAnsiTheme="minorHAnsi" w:cstheme="minorHAnsi"/>
          <w:sz w:val="22"/>
          <w:szCs w:val="22"/>
          <w:lang w:val="en-US"/>
        </w:rPr>
        <w:t xml:space="preserve">- by March 31, 2027 – submission of full research work; </w:t>
      </w:r>
    </w:p>
    <w:p w14:paraId="081BD633" w14:textId="6B1FD0E0" w:rsidR="00C5650A" w:rsidRPr="00EC6B0F" w:rsidRDefault="00C5650A" w:rsidP="003D61E3">
      <w:pPr>
        <w:pStyle w:val="Default"/>
        <w:spacing w:after="71" w:line="264" w:lineRule="auto"/>
        <w:jc w:val="both"/>
        <w:rPr>
          <w:rFonts w:asciiTheme="minorHAnsi" w:hAnsiTheme="minorHAnsi" w:cstheme="minorHAnsi"/>
          <w:sz w:val="22"/>
          <w:szCs w:val="22"/>
          <w:lang w:val="en-US"/>
        </w:rPr>
      </w:pPr>
      <w:r w:rsidRPr="00EC6B0F">
        <w:rPr>
          <w:rFonts w:asciiTheme="minorHAnsi" w:hAnsiTheme="minorHAnsi" w:cstheme="minorHAnsi"/>
          <w:sz w:val="22"/>
          <w:szCs w:val="22"/>
          <w:lang w:val="en-US"/>
        </w:rPr>
        <w:t xml:space="preserve">- by May 31, 2027 – request for amendments or additional information to authors; </w:t>
      </w:r>
    </w:p>
    <w:p w14:paraId="39BBEEF1" w14:textId="4E556088" w:rsidR="00EC6B0F" w:rsidRPr="00EC6B0F" w:rsidRDefault="00C5650A" w:rsidP="003D61E3">
      <w:pPr>
        <w:pStyle w:val="Default"/>
        <w:spacing w:line="264" w:lineRule="auto"/>
        <w:jc w:val="both"/>
        <w:rPr>
          <w:rFonts w:asciiTheme="minorHAnsi" w:hAnsiTheme="minorHAnsi" w:cstheme="minorHAnsi"/>
          <w:sz w:val="22"/>
          <w:szCs w:val="22"/>
          <w:lang w:val="en-US"/>
        </w:rPr>
      </w:pPr>
      <w:r w:rsidRPr="00EC6B0F">
        <w:rPr>
          <w:rFonts w:asciiTheme="minorHAnsi" w:hAnsiTheme="minorHAnsi" w:cstheme="minorHAnsi"/>
          <w:sz w:val="22"/>
          <w:szCs w:val="22"/>
          <w:lang w:val="en-US"/>
        </w:rPr>
        <w:t>- by July 31, 2027 – submission of the final version of the research work.</w:t>
      </w:r>
    </w:p>
    <w:p w14:paraId="3C652AD5" w14:textId="77777777" w:rsidR="00EC6B0F" w:rsidRPr="00EC6B0F" w:rsidRDefault="00EC6B0F" w:rsidP="003D61E3">
      <w:pPr>
        <w:spacing w:line="264" w:lineRule="auto"/>
        <w:jc w:val="both"/>
        <w:rPr>
          <w:rFonts w:cstheme="minorHAnsi"/>
          <w:color w:val="000000"/>
          <w:lang w:val="en-US"/>
        </w:rPr>
      </w:pPr>
      <w:r w:rsidRPr="00EC6B0F">
        <w:rPr>
          <w:rFonts w:cstheme="minorHAnsi"/>
          <w:lang w:val="en-US"/>
        </w:rPr>
        <w:br w:type="page"/>
      </w:r>
    </w:p>
    <w:p w14:paraId="329EF9D3" w14:textId="467D293B" w:rsidR="00EC6B0F" w:rsidRPr="00EC6B0F" w:rsidRDefault="00EC6B0F" w:rsidP="003D61E3">
      <w:pPr>
        <w:pStyle w:val="Titolo2"/>
        <w:pageBreakBefore/>
        <w:spacing w:line="264" w:lineRule="auto"/>
        <w:jc w:val="both"/>
        <w:rPr>
          <w:rFonts w:asciiTheme="minorHAnsi" w:eastAsia="Calibri" w:hAnsiTheme="minorHAnsi" w:cstheme="minorHAnsi"/>
          <w:sz w:val="22"/>
          <w:lang w:val="it-IT"/>
        </w:rPr>
      </w:pPr>
      <w:proofErr w:type="spellStart"/>
      <w:r>
        <w:rPr>
          <w:rFonts w:asciiTheme="minorHAnsi" w:eastAsia="Calibri" w:hAnsiTheme="minorHAnsi" w:cstheme="minorHAnsi"/>
          <w:sz w:val="22"/>
          <w:lang w:val="it-IT"/>
        </w:rPr>
        <w:lastRenderedPageBreak/>
        <w:t>Bigliography</w:t>
      </w:r>
      <w:proofErr w:type="spellEnd"/>
    </w:p>
    <w:p w14:paraId="17E2DDC2" w14:textId="77777777" w:rsidR="00EC6B0F" w:rsidRPr="00EC6B0F" w:rsidRDefault="00EC6B0F" w:rsidP="003D61E3">
      <w:pPr>
        <w:keepLines/>
        <w:spacing w:line="264" w:lineRule="auto"/>
        <w:ind w:left="360" w:hanging="360"/>
        <w:jc w:val="both"/>
        <w:rPr>
          <w:rFonts w:eastAsia="Calibri" w:cstheme="minorHAnsi"/>
          <w:lang w:val="en-US"/>
        </w:rPr>
      </w:pPr>
      <w:r w:rsidRPr="00EC6B0F">
        <w:rPr>
          <w:rFonts w:cstheme="minorHAnsi"/>
        </w:rPr>
        <w:t xml:space="preserve">Battiston, S., </w:t>
      </w:r>
      <w:proofErr w:type="spellStart"/>
      <w:r w:rsidRPr="00EC6B0F">
        <w:rPr>
          <w:rFonts w:cstheme="minorHAnsi"/>
        </w:rPr>
        <w:t>Mandel</w:t>
      </w:r>
      <w:proofErr w:type="spellEnd"/>
      <w:r w:rsidRPr="00EC6B0F">
        <w:rPr>
          <w:rFonts w:cstheme="minorHAnsi"/>
        </w:rPr>
        <w:t xml:space="preserve">, A., Monasterolo, I., </w:t>
      </w:r>
      <w:proofErr w:type="spellStart"/>
      <w:r w:rsidRPr="00EC6B0F">
        <w:rPr>
          <w:rFonts w:cstheme="minorHAnsi"/>
        </w:rPr>
        <w:t>Schütze</w:t>
      </w:r>
      <w:proofErr w:type="spellEnd"/>
      <w:r w:rsidRPr="00EC6B0F">
        <w:rPr>
          <w:rFonts w:cstheme="minorHAnsi"/>
        </w:rPr>
        <w:t xml:space="preserve">, F., e Visentin, G. (2017). </w:t>
      </w:r>
      <w:r w:rsidRPr="00EC6B0F">
        <w:rPr>
          <w:rFonts w:cstheme="minorHAnsi"/>
          <w:lang w:val="en-US"/>
        </w:rPr>
        <w:t xml:space="preserve">A climate stress-test of the financial system. </w:t>
      </w:r>
      <w:r w:rsidRPr="00EC6B0F">
        <w:rPr>
          <w:rFonts w:cstheme="minorHAnsi"/>
          <w:i/>
          <w:lang w:val="en-US"/>
        </w:rPr>
        <w:t>Nature Climate Change, 7</w:t>
      </w:r>
      <w:r w:rsidRPr="00EC6B0F">
        <w:rPr>
          <w:rFonts w:cstheme="minorHAnsi"/>
          <w:lang w:val="en-US"/>
        </w:rPr>
        <w:t>, 283–288. https://doi.org/10.1038/nclimate3255</w:t>
      </w:r>
    </w:p>
    <w:p w14:paraId="51962DC3" w14:textId="77777777" w:rsidR="00EC6B0F" w:rsidRPr="00EC6B0F" w:rsidRDefault="00EC6B0F" w:rsidP="003D61E3">
      <w:pPr>
        <w:keepLines/>
        <w:spacing w:line="264" w:lineRule="auto"/>
        <w:ind w:left="360" w:hanging="360"/>
        <w:jc w:val="both"/>
        <w:rPr>
          <w:rFonts w:cstheme="minorHAnsi"/>
          <w:lang w:val="en-US"/>
        </w:rPr>
      </w:pPr>
      <w:r w:rsidRPr="00EC6B0F">
        <w:rPr>
          <w:rFonts w:cstheme="minorHAnsi"/>
        </w:rPr>
        <w:t xml:space="preserve">Caldara, D., e Iacoviello, M. (2022). </w:t>
      </w:r>
      <w:r w:rsidRPr="00EC6B0F">
        <w:rPr>
          <w:rFonts w:cstheme="minorHAnsi"/>
          <w:lang w:val="en-US"/>
        </w:rPr>
        <w:t xml:space="preserve">Measuring geopolitical risk. </w:t>
      </w:r>
      <w:r w:rsidRPr="00EC6B0F">
        <w:rPr>
          <w:rFonts w:cstheme="minorHAnsi"/>
          <w:i/>
          <w:lang w:val="en-US"/>
        </w:rPr>
        <w:t>American Economic Review, 112</w:t>
      </w:r>
      <w:r w:rsidRPr="00EC6B0F">
        <w:rPr>
          <w:rFonts w:cstheme="minorHAnsi"/>
          <w:lang w:val="en-US"/>
        </w:rPr>
        <w:t>(4), 1194–1225. https://doi.org/10.1257/aer.20191823</w:t>
      </w:r>
    </w:p>
    <w:p w14:paraId="14E1E232" w14:textId="77777777" w:rsidR="00EC6B0F" w:rsidRPr="00EC6B0F" w:rsidRDefault="00EC6B0F" w:rsidP="003D61E3">
      <w:pPr>
        <w:keepLines/>
        <w:spacing w:line="264" w:lineRule="auto"/>
        <w:ind w:left="360" w:hanging="360"/>
        <w:jc w:val="both"/>
        <w:rPr>
          <w:rFonts w:cstheme="minorHAnsi"/>
          <w:lang w:val="en-US"/>
        </w:rPr>
      </w:pPr>
      <w:r w:rsidRPr="00EC6B0F">
        <w:rPr>
          <w:rFonts w:cstheme="minorHAnsi"/>
          <w:lang w:val="en-US"/>
        </w:rPr>
        <w:t xml:space="preserve">Haldane, A. G., e May, R. M. (2011). Systemic risk in banking ecosystems. </w:t>
      </w:r>
      <w:r w:rsidRPr="00EC6B0F">
        <w:rPr>
          <w:rFonts w:cstheme="minorHAnsi"/>
          <w:i/>
          <w:lang w:val="en-US"/>
        </w:rPr>
        <w:t>Nature, 469</w:t>
      </w:r>
      <w:r w:rsidRPr="00EC6B0F">
        <w:rPr>
          <w:rFonts w:cstheme="minorHAnsi"/>
          <w:lang w:val="en-US"/>
        </w:rPr>
        <w:t>, 351–355. https://doi.org/10.1038/nature09659</w:t>
      </w:r>
    </w:p>
    <w:p w14:paraId="06A01F85" w14:textId="77777777" w:rsidR="00EC6B0F" w:rsidRPr="00EC6B0F" w:rsidRDefault="00EC6B0F" w:rsidP="003D61E3">
      <w:pPr>
        <w:keepLines/>
        <w:spacing w:line="264" w:lineRule="auto"/>
        <w:ind w:left="360" w:hanging="360"/>
        <w:jc w:val="both"/>
        <w:rPr>
          <w:rFonts w:cstheme="minorHAnsi"/>
          <w:lang w:val="en-US"/>
        </w:rPr>
      </w:pPr>
      <w:r w:rsidRPr="00EC6B0F">
        <w:rPr>
          <w:rFonts w:cstheme="minorHAnsi"/>
          <w:lang w:val="en-US"/>
        </w:rPr>
        <w:t xml:space="preserve">Power, M. (2007). </w:t>
      </w:r>
      <w:r w:rsidRPr="00EC6B0F">
        <w:rPr>
          <w:rFonts w:cstheme="minorHAnsi"/>
          <w:i/>
          <w:lang w:val="en-US"/>
        </w:rPr>
        <w:t>Organized uncertainty: Designing a world of risk management.</w:t>
      </w:r>
      <w:r w:rsidRPr="00EC6B0F">
        <w:rPr>
          <w:rFonts w:cstheme="minorHAnsi"/>
          <w:lang w:val="en-US"/>
        </w:rPr>
        <w:t xml:space="preserve"> Oxford University Press.</w:t>
      </w:r>
    </w:p>
    <w:p w14:paraId="5C4751BB" w14:textId="77777777" w:rsidR="00EC6B0F" w:rsidRPr="00EC6B0F" w:rsidRDefault="00EC6B0F" w:rsidP="003D61E3">
      <w:pPr>
        <w:keepLines/>
        <w:spacing w:line="264" w:lineRule="auto"/>
        <w:ind w:left="360" w:hanging="360"/>
        <w:jc w:val="both"/>
        <w:rPr>
          <w:rFonts w:cstheme="minorHAnsi"/>
        </w:rPr>
      </w:pPr>
      <w:proofErr w:type="spellStart"/>
      <w:r w:rsidRPr="00EC6B0F">
        <w:rPr>
          <w:rFonts w:cstheme="minorHAnsi"/>
          <w:lang w:val="en-US"/>
        </w:rPr>
        <w:t>Selbst</w:t>
      </w:r>
      <w:proofErr w:type="spellEnd"/>
      <w:r w:rsidRPr="00EC6B0F">
        <w:rPr>
          <w:rFonts w:cstheme="minorHAnsi"/>
          <w:lang w:val="en-US"/>
        </w:rPr>
        <w:t xml:space="preserve">, A. D., </w:t>
      </w:r>
      <w:proofErr w:type="spellStart"/>
      <w:r w:rsidRPr="00EC6B0F">
        <w:rPr>
          <w:rFonts w:cstheme="minorHAnsi"/>
          <w:lang w:val="en-US"/>
        </w:rPr>
        <w:t>boyd</w:t>
      </w:r>
      <w:proofErr w:type="spellEnd"/>
      <w:r w:rsidRPr="00EC6B0F">
        <w:rPr>
          <w:rFonts w:cstheme="minorHAnsi"/>
          <w:lang w:val="en-US"/>
        </w:rPr>
        <w:t xml:space="preserve">, d., </w:t>
      </w:r>
      <w:proofErr w:type="spellStart"/>
      <w:r w:rsidRPr="00EC6B0F">
        <w:rPr>
          <w:rFonts w:cstheme="minorHAnsi"/>
          <w:lang w:val="en-US"/>
        </w:rPr>
        <w:t>Friedler</w:t>
      </w:r>
      <w:proofErr w:type="spellEnd"/>
      <w:r w:rsidRPr="00EC6B0F">
        <w:rPr>
          <w:rFonts w:cstheme="minorHAnsi"/>
          <w:lang w:val="en-US"/>
        </w:rPr>
        <w:t xml:space="preserve">, S. A., </w:t>
      </w:r>
      <w:proofErr w:type="spellStart"/>
      <w:r w:rsidRPr="00EC6B0F">
        <w:rPr>
          <w:rFonts w:cstheme="minorHAnsi"/>
          <w:lang w:val="en-US"/>
        </w:rPr>
        <w:t>Venkatasubramanian</w:t>
      </w:r>
      <w:proofErr w:type="spellEnd"/>
      <w:r w:rsidRPr="00EC6B0F">
        <w:rPr>
          <w:rFonts w:cstheme="minorHAnsi"/>
          <w:lang w:val="en-US"/>
        </w:rPr>
        <w:t xml:space="preserve">, S., e </w:t>
      </w:r>
      <w:proofErr w:type="spellStart"/>
      <w:r w:rsidRPr="00EC6B0F">
        <w:rPr>
          <w:rFonts w:cstheme="minorHAnsi"/>
          <w:lang w:val="en-US"/>
        </w:rPr>
        <w:t>Vertesi</w:t>
      </w:r>
      <w:proofErr w:type="spellEnd"/>
      <w:r w:rsidRPr="00EC6B0F">
        <w:rPr>
          <w:rFonts w:cstheme="minorHAnsi"/>
          <w:lang w:val="en-US"/>
        </w:rPr>
        <w:t xml:space="preserve">, J. (2019). Fairness and abstraction in sociotechnical systems. In </w:t>
      </w:r>
      <w:r w:rsidRPr="00EC6B0F">
        <w:rPr>
          <w:rFonts w:cstheme="minorHAnsi"/>
          <w:i/>
          <w:lang w:val="en-US"/>
        </w:rPr>
        <w:t>Proceedings of the Conference on Fairness, Accountability, and Transparency (FAT* ’19)</w:t>
      </w:r>
      <w:r w:rsidRPr="00EC6B0F">
        <w:rPr>
          <w:rFonts w:cstheme="minorHAnsi"/>
          <w:lang w:val="en-US"/>
        </w:rPr>
        <w:t xml:space="preserve"> (pp. 59–68). </w:t>
      </w:r>
      <w:r w:rsidRPr="00EC6B0F">
        <w:rPr>
          <w:rFonts w:cstheme="minorHAnsi"/>
        </w:rPr>
        <w:t>ACM. https://doi.org/10.1145/3287560.3287598</w:t>
      </w:r>
    </w:p>
    <w:p w14:paraId="37176679" w14:textId="77777777" w:rsidR="00EC6B0F" w:rsidRPr="00EC6B0F" w:rsidRDefault="00EC6B0F" w:rsidP="003D61E3">
      <w:pPr>
        <w:keepLines/>
        <w:spacing w:line="264" w:lineRule="auto"/>
        <w:ind w:left="360" w:hanging="360"/>
        <w:jc w:val="both"/>
        <w:rPr>
          <w:rFonts w:cstheme="minorHAnsi"/>
          <w:lang w:val="en-US"/>
        </w:rPr>
      </w:pPr>
      <w:r w:rsidRPr="00EC6B0F">
        <w:rPr>
          <w:rFonts w:cstheme="minorHAnsi"/>
        </w:rPr>
        <w:t xml:space="preserve">Sesana, E., </w:t>
      </w:r>
      <w:proofErr w:type="spellStart"/>
      <w:r w:rsidRPr="00EC6B0F">
        <w:rPr>
          <w:rFonts w:cstheme="minorHAnsi"/>
        </w:rPr>
        <w:t>Gagnon</w:t>
      </w:r>
      <w:proofErr w:type="spellEnd"/>
      <w:r w:rsidRPr="00EC6B0F">
        <w:rPr>
          <w:rFonts w:cstheme="minorHAnsi"/>
        </w:rPr>
        <w:t xml:space="preserve">, A. S., Ciantelli, C., Cassar, J., e Hughes, J. J. (2021). </w:t>
      </w:r>
      <w:r w:rsidRPr="00EC6B0F">
        <w:rPr>
          <w:rFonts w:cstheme="minorHAnsi"/>
          <w:lang w:val="en-US"/>
        </w:rPr>
        <w:t xml:space="preserve">Climate change impacts on cultural heritage: A literature review. </w:t>
      </w:r>
      <w:r w:rsidRPr="00EC6B0F">
        <w:rPr>
          <w:rFonts w:cstheme="minorHAnsi"/>
          <w:i/>
          <w:lang w:val="en-US"/>
        </w:rPr>
        <w:t>WIREs Climate Change, 12</w:t>
      </w:r>
      <w:r w:rsidRPr="00EC6B0F">
        <w:rPr>
          <w:rFonts w:cstheme="minorHAnsi"/>
          <w:lang w:val="en-US"/>
        </w:rPr>
        <w:t>(4), e710. https://doi.org/10.1002/wcc.710</w:t>
      </w:r>
    </w:p>
    <w:p w14:paraId="17C30D3F" w14:textId="77777777" w:rsidR="00EC6B0F" w:rsidRPr="00EC6B0F" w:rsidRDefault="00EC6B0F" w:rsidP="003D61E3">
      <w:pPr>
        <w:keepLines/>
        <w:spacing w:line="264" w:lineRule="auto"/>
        <w:ind w:left="360" w:hanging="360"/>
        <w:jc w:val="both"/>
        <w:rPr>
          <w:rFonts w:cstheme="minorHAnsi"/>
          <w:lang w:val="en-US"/>
        </w:rPr>
      </w:pPr>
      <w:r w:rsidRPr="00EC6B0F">
        <w:rPr>
          <w:rFonts w:cstheme="minorHAnsi"/>
          <w:lang w:val="en-US"/>
        </w:rPr>
        <w:t xml:space="preserve">Stirling, A. (2010). Keep it complex. </w:t>
      </w:r>
      <w:r w:rsidRPr="00EC6B0F">
        <w:rPr>
          <w:rFonts w:cstheme="minorHAnsi"/>
          <w:i/>
          <w:lang w:val="en-US"/>
        </w:rPr>
        <w:t>Nature, 468</w:t>
      </w:r>
      <w:r w:rsidRPr="00EC6B0F">
        <w:rPr>
          <w:rFonts w:cstheme="minorHAnsi"/>
          <w:lang w:val="en-US"/>
        </w:rPr>
        <w:t>, 1029–1031. https://doi.org/10.1038/4681029a</w:t>
      </w:r>
    </w:p>
    <w:p w14:paraId="30DFE2D5" w14:textId="77777777" w:rsidR="00EC6B0F" w:rsidRPr="00EC6B0F" w:rsidRDefault="00EC6B0F" w:rsidP="003D61E3">
      <w:pPr>
        <w:keepLines/>
        <w:spacing w:line="264" w:lineRule="auto"/>
        <w:ind w:left="360" w:hanging="360"/>
        <w:jc w:val="both"/>
        <w:rPr>
          <w:rFonts w:cstheme="minorHAnsi"/>
        </w:rPr>
      </w:pPr>
      <w:r w:rsidRPr="00EC6B0F">
        <w:rPr>
          <w:rFonts w:cstheme="minorHAnsi"/>
          <w:lang w:val="en-US"/>
        </w:rPr>
        <w:t xml:space="preserve">Veale, M., e </w:t>
      </w:r>
      <w:proofErr w:type="spellStart"/>
      <w:r w:rsidRPr="00EC6B0F">
        <w:rPr>
          <w:rFonts w:cstheme="minorHAnsi"/>
          <w:lang w:val="en-US"/>
        </w:rPr>
        <w:t>Zuiderveen</w:t>
      </w:r>
      <w:proofErr w:type="spellEnd"/>
      <w:r w:rsidRPr="00EC6B0F">
        <w:rPr>
          <w:rFonts w:cstheme="minorHAnsi"/>
          <w:lang w:val="en-US"/>
        </w:rPr>
        <w:t xml:space="preserve"> </w:t>
      </w:r>
      <w:proofErr w:type="spellStart"/>
      <w:r w:rsidRPr="00EC6B0F">
        <w:rPr>
          <w:rFonts w:cstheme="minorHAnsi"/>
          <w:lang w:val="en-US"/>
        </w:rPr>
        <w:t>Borgesius</w:t>
      </w:r>
      <w:proofErr w:type="spellEnd"/>
      <w:r w:rsidRPr="00EC6B0F">
        <w:rPr>
          <w:rFonts w:cstheme="minorHAnsi"/>
          <w:lang w:val="en-US"/>
        </w:rPr>
        <w:t xml:space="preserve">, F. (2021). Demystifying the draft EU Artificial Intelligence Act. </w:t>
      </w:r>
      <w:r w:rsidRPr="00EC6B0F">
        <w:rPr>
          <w:rFonts w:cstheme="minorHAnsi"/>
          <w:i/>
        </w:rPr>
        <w:t xml:space="preserve">Computer </w:t>
      </w:r>
      <w:proofErr w:type="spellStart"/>
      <w:r w:rsidRPr="00EC6B0F">
        <w:rPr>
          <w:rFonts w:cstheme="minorHAnsi"/>
          <w:i/>
        </w:rPr>
        <w:t>Law</w:t>
      </w:r>
      <w:proofErr w:type="spellEnd"/>
      <w:r w:rsidRPr="00EC6B0F">
        <w:rPr>
          <w:rFonts w:cstheme="minorHAnsi"/>
          <w:i/>
        </w:rPr>
        <w:t xml:space="preserve"> Review International, 22</w:t>
      </w:r>
      <w:r w:rsidRPr="00EC6B0F">
        <w:rPr>
          <w:rFonts w:cstheme="minorHAnsi"/>
        </w:rPr>
        <w:t>(4), 97–112. https://doi.org/10.9785/cri-2021-220402</w:t>
      </w:r>
    </w:p>
    <w:p w14:paraId="00300C52" w14:textId="77777777" w:rsidR="00C5650A" w:rsidRPr="00EC6B0F" w:rsidRDefault="00C5650A" w:rsidP="003D61E3">
      <w:pPr>
        <w:pStyle w:val="Default"/>
        <w:spacing w:line="264" w:lineRule="auto"/>
        <w:jc w:val="both"/>
        <w:rPr>
          <w:rFonts w:asciiTheme="minorHAnsi" w:hAnsiTheme="minorHAnsi" w:cstheme="minorHAnsi"/>
          <w:sz w:val="22"/>
          <w:szCs w:val="22"/>
          <w:lang w:val="en-US"/>
        </w:rPr>
      </w:pPr>
    </w:p>
    <w:sectPr w:rsidR="00C5650A" w:rsidRPr="00EC6B0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02D"/>
    <w:rsid w:val="0027445E"/>
    <w:rsid w:val="003D61E3"/>
    <w:rsid w:val="00473E34"/>
    <w:rsid w:val="00767E0A"/>
    <w:rsid w:val="007F3171"/>
    <w:rsid w:val="00BD202D"/>
    <w:rsid w:val="00C5650A"/>
    <w:rsid w:val="00EC6B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9124F"/>
  <w15:chartTrackingRefBased/>
  <w15:docId w15:val="{75AAEC3B-CD06-4709-8B61-599CD754C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2">
    <w:name w:val="heading 2"/>
    <w:basedOn w:val="Normale"/>
    <w:next w:val="Normale"/>
    <w:link w:val="Titolo2Carattere"/>
    <w:uiPriority w:val="9"/>
    <w:semiHidden/>
    <w:unhideWhenUsed/>
    <w:qFormat/>
    <w:rsid w:val="00EC6B0F"/>
    <w:pPr>
      <w:keepNext/>
      <w:spacing w:before="280" w:after="100" w:line="256" w:lineRule="auto"/>
      <w:outlineLvl w:val="1"/>
    </w:pPr>
    <w:rPr>
      <w:rFonts w:ascii="Calibri" w:eastAsia="Times New Roman" w:hAnsi="Calibri" w:cs="Calibri"/>
      <w:b/>
      <w:color w:val="000000"/>
      <w:sz w:val="26"/>
      <w:lang w:val="en-US" w:eastAsia="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BD202D"/>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fault">
    <w:name w:val="Default"/>
    <w:rsid w:val="00C5650A"/>
    <w:pPr>
      <w:autoSpaceDE w:val="0"/>
      <w:autoSpaceDN w:val="0"/>
      <w:adjustRightInd w:val="0"/>
      <w:spacing w:after="0" w:line="240" w:lineRule="auto"/>
    </w:pPr>
    <w:rPr>
      <w:rFonts w:ascii="Times New Roman" w:hAnsi="Times New Roman" w:cs="Times New Roman"/>
      <w:color w:val="000000"/>
      <w:sz w:val="24"/>
      <w:szCs w:val="24"/>
    </w:rPr>
  </w:style>
  <w:style w:type="character" w:styleId="Collegamentoipertestuale">
    <w:name w:val="Hyperlink"/>
    <w:basedOn w:val="Carpredefinitoparagrafo"/>
    <w:uiPriority w:val="99"/>
    <w:unhideWhenUsed/>
    <w:rsid w:val="0027445E"/>
    <w:rPr>
      <w:color w:val="0563C1" w:themeColor="hyperlink"/>
      <w:u w:val="single"/>
    </w:rPr>
  </w:style>
  <w:style w:type="character" w:styleId="Menzionenonrisolta">
    <w:name w:val="Unresolved Mention"/>
    <w:basedOn w:val="Carpredefinitoparagrafo"/>
    <w:uiPriority w:val="99"/>
    <w:semiHidden/>
    <w:unhideWhenUsed/>
    <w:rsid w:val="0027445E"/>
    <w:rPr>
      <w:color w:val="605E5C"/>
      <w:shd w:val="clear" w:color="auto" w:fill="E1DFDD"/>
    </w:rPr>
  </w:style>
  <w:style w:type="character" w:customStyle="1" w:styleId="Titolo2Carattere">
    <w:name w:val="Titolo 2 Carattere"/>
    <w:basedOn w:val="Carpredefinitoparagrafo"/>
    <w:link w:val="Titolo2"/>
    <w:uiPriority w:val="9"/>
    <w:semiHidden/>
    <w:rsid w:val="00EC6B0F"/>
    <w:rPr>
      <w:rFonts w:ascii="Calibri" w:eastAsia="Times New Roman" w:hAnsi="Calibri" w:cs="Calibri"/>
      <w:b/>
      <w:color w:val="000000"/>
      <w:sz w:val="26"/>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3854700">
      <w:bodyDiv w:val="1"/>
      <w:marLeft w:val="0"/>
      <w:marRight w:val="0"/>
      <w:marTop w:val="0"/>
      <w:marBottom w:val="0"/>
      <w:divBdr>
        <w:top w:val="none" w:sz="0" w:space="0" w:color="auto"/>
        <w:left w:val="none" w:sz="0" w:space="0" w:color="auto"/>
        <w:bottom w:val="none" w:sz="0" w:space="0" w:color="auto"/>
        <w:right w:val="none" w:sz="0" w:space="0" w:color="auto"/>
      </w:divBdr>
    </w:div>
    <w:div w:id="1451319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1384</Words>
  <Characters>7894</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 ri</dc:creator>
  <cp:keywords/>
  <dc:description/>
  <cp:lastModifiedBy>lu ri</cp:lastModifiedBy>
  <cp:revision>9</cp:revision>
  <dcterms:created xsi:type="dcterms:W3CDTF">2026-10-23T15:40:00Z</dcterms:created>
  <dcterms:modified xsi:type="dcterms:W3CDTF">2026-10-24T09:24:00Z</dcterms:modified>
</cp:coreProperties>
</file>